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56DA" w14:textId="3964AF79" w:rsidR="00FF4EAB" w:rsidRDefault="00FF4EAB" w:rsidP="004B0D73"/>
    <w:p w14:paraId="3BC84FF1" w14:textId="77777777" w:rsidR="009147B4" w:rsidRPr="005917BF" w:rsidRDefault="009147B4" w:rsidP="00D2547D">
      <w:pPr>
        <w:pStyle w:val="Underrubrik"/>
      </w:pPr>
      <w:r w:rsidRPr="005917BF">
        <w:t>DETTA PRESSMEDDELANDE FÅR INTE OFFENTLIGGÖRAS, PUBLICERAS ELLER DISTRIBUERAS, DIREKT ELLER INDIREKT, I ELLER TILL USA, AUSTRALIEN, HONGKONG, JAPAN, KANADA, NYA ZEELAND, SCHWEIZ, SINGAPORE, SYDAFRIKA, SYDKOREA, RYSSLAND, BELARUS ELLER NÅGON ANNAN JURISDIKTION DÄR OFFENTLIGGÖRANDE, PUBLICERING ELLER DISTRIBUTION AV INFORMATIONEN INTE SKULLE VARA FÖRENLIG MED TILLÄMPLIGA REGLER ELLER KRÄVA REGISTRERING ELLER NÅGON ANNAN ÅTGÄRD. DETTA PRESSMEDDELANDE UTGÖR INTE ETT ERBJUDANDE ATT F</w:t>
      </w:r>
      <w:r>
        <w:t>Ö</w:t>
      </w:r>
      <w:r w:rsidRPr="005917BF">
        <w:t>RVÄRVA VÄRDEPAPPER I ACUCORT AB (PUBL). SE ÄVEN AVSNITTET ”VIKTIG INFORMATION” NEDAN.</w:t>
      </w:r>
    </w:p>
    <w:p w14:paraId="405764F6" w14:textId="03AE3994" w:rsidR="00FF4EAB" w:rsidRDefault="00FF4EAB" w:rsidP="004B0D73">
      <w:pPr>
        <w:pStyle w:val="Rubrik1"/>
      </w:pPr>
      <w:r w:rsidRPr="00FF4EAB">
        <w:t xml:space="preserve">AcuCort </w:t>
      </w:r>
      <w:r w:rsidR="00DC5F54">
        <w:t xml:space="preserve">genomför riktad emission av units till </w:t>
      </w:r>
      <w:r w:rsidR="00D5052B">
        <w:t xml:space="preserve">vissa </w:t>
      </w:r>
      <w:r w:rsidR="00D2547D">
        <w:t>emissionsgaranter</w:t>
      </w:r>
    </w:p>
    <w:p w14:paraId="778EDC5A" w14:textId="4AEA98B7" w:rsidR="000E37FA" w:rsidRDefault="002B7915" w:rsidP="00AE57FB">
      <w:pPr>
        <w:jc w:val="both"/>
        <w:rPr>
          <w:b/>
          <w:bCs/>
        </w:rPr>
      </w:pPr>
      <w:r w:rsidRPr="00F33E5A">
        <w:rPr>
          <w:b/>
          <w:bCs/>
        </w:rPr>
        <w:t>AcuCort AB (”Bolaget” eller ”AcuCort”) har</w:t>
      </w:r>
      <w:r w:rsidR="00DC5F54">
        <w:rPr>
          <w:b/>
          <w:bCs/>
        </w:rPr>
        <w:t xml:space="preserve"> slutfört den företrädesemission av units </w:t>
      </w:r>
      <w:r w:rsidR="00225853" w:rsidRPr="00225853">
        <w:rPr>
          <w:b/>
          <w:bCs/>
        </w:rPr>
        <w:t xml:space="preserve">som beslutades av styrelsen den 31 augusti 2023 och som godkändes av extra bolagsstämma den 2 oktober 2023 </w:t>
      </w:r>
      <w:r w:rsidR="00DC5F54">
        <w:rPr>
          <w:b/>
          <w:bCs/>
        </w:rPr>
        <w:t>(”Företrädesemissionen”)</w:t>
      </w:r>
      <w:r w:rsidR="000E37FA">
        <w:rPr>
          <w:b/>
          <w:bCs/>
        </w:rPr>
        <w:t>.</w:t>
      </w:r>
      <w:r w:rsidR="00054B86">
        <w:rPr>
          <w:b/>
          <w:bCs/>
        </w:rPr>
        <w:t xml:space="preserve"> </w:t>
      </w:r>
      <w:r w:rsidR="000E37FA">
        <w:rPr>
          <w:b/>
          <w:bCs/>
        </w:rPr>
        <w:t xml:space="preserve">I samband härmed </w:t>
      </w:r>
      <w:r w:rsidR="004B31B7">
        <w:rPr>
          <w:b/>
          <w:bCs/>
        </w:rPr>
        <w:t xml:space="preserve">har Bolaget, </w:t>
      </w:r>
      <w:r w:rsidR="000E37FA">
        <w:rPr>
          <w:b/>
          <w:bCs/>
        </w:rPr>
        <w:t xml:space="preserve">i enlighet med ingångna garantiavtal, </w:t>
      </w:r>
      <w:r w:rsidR="004B31B7">
        <w:rPr>
          <w:b/>
          <w:bCs/>
        </w:rPr>
        <w:t xml:space="preserve">genomfört </w:t>
      </w:r>
      <w:r w:rsidR="000E37FA">
        <w:rPr>
          <w:b/>
          <w:bCs/>
        </w:rPr>
        <w:t xml:space="preserve">en riktad emission av units till </w:t>
      </w:r>
      <w:r w:rsidR="00054B86">
        <w:rPr>
          <w:b/>
          <w:bCs/>
        </w:rPr>
        <w:t>de</w:t>
      </w:r>
      <w:r w:rsidR="000E37FA">
        <w:rPr>
          <w:b/>
          <w:bCs/>
        </w:rPr>
        <w:t xml:space="preserve"> garanter i Företrädesemissionen som har valt att erhålla sin garantiersättning i form av units i Bolaget (”Kompensationsemissionen”).</w:t>
      </w:r>
      <w:r w:rsidR="00054B86">
        <w:rPr>
          <w:b/>
          <w:bCs/>
        </w:rPr>
        <w:t xml:space="preserve"> Två av de totalt tio garanterna har valt att erhålla sin garantiersättning om totalt 72 KSEK i form av units i Bolaget.</w:t>
      </w:r>
      <w:r w:rsidR="00E33644">
        <w:rPr>
          <w:b/>
          <w:bCs/>
        </w:rPr>
        <w:t xml:space="preserve"> Teckningskursen i Kompensationsemissionen är fastställd till </w:t>
      </w:r>
      <w:r w:rsidR="000F4CE1">
        <w:rPr>
          <w:b/>
          <w:bCs/>
        </w:rPr>
        <w:t>4,80</w:t>
      </w:r>
      <w:r w:rsidR="00E33644">
        <w:rPr>
          <w:b/>
          <w:bCs/>
        </w:rPr>
        <w:t xml:space="preserve"> SEK per unit, motsvarande </w:t>
      </w:r>
      <w:r w:rsidR="000F4CE1">
        <w:rPr>
          <w:b/>
          <w:bCs/>
        </w:rPr>
        <w:t>0,40</w:t>
      </w:r>
      <w:r w:rsidR="00E33644">
        <w:rPr>
          <w:b/>
          <w:bCs/>
        </w:rPr>
        <w:t xml:space="preserve"> SEK per aktie och betalning sker genom kvittning av</w:t>
      </w:r>
      <w:r w:rsidR="007A37CA">
        <w:rPr>
          <w:b/>
          <w:bCs/>
        </w:rPr>
        <w:t xml:space="preserve"> de två </w:t>
      </w:r>
      <w:r w:rsidR="00E33644">
        <w:rPr>
          <w:b/>
          <w:bCs/>
        </w:rPr>
        <w:t>garante</w:t>
      </w:r>
      <w:r w:rsidR="007A37CA">
        <w:rPr>
          <w:b/>
          <w:bCs/>
        </w:rPr>
        <w:t>rnas</w:t>
      </w:r>
      <w:r w:rsidR="00E33644">
        <w:rPr>
          <w:b/>
          <w:bCs/>
        </w:rPr>
        <w:t xml:space="preserve"> fordr</w:t>
      </w:r>
      <w:r w:rsidR="00CF174F">
        <w:rPr>
          <w:b/>
          <w:bCs/>
        </w:rPr>
        <w:t>ingar</w:t>
      </w:r>
      <w:r w:rsidR="00E33644">
        <w:rPr>
          <w:b/>
          <w:bCs/>
        </w:rPr>
        <w:t xml:space="preserve"> på garantiersättning</w:t>
      </w:r>
      <w:r w:rsidR="00054B86">
        <w:rPr>
          <w:b/>
          <w:bCs/>
        </w:rPr>
        <w:t xml:space="preserve">. </w:t>
      </w:r>
    </w:p>
    <w:p w14:paraId="77A0D9BC" w14:textId="36BB8519" w:rsidR="00F33E5A" w:rsidRDefault="00E33644" w:rsidP="004B0D73">
      <w:pPr>
        <w:pStyle w:val="Rubrik2"/>
      </w:pPr>
      <w:r>
        <w:t>Kompensationsemissionen</w:t>
      </w:r>
    </w:p>
    <w:p w14:paraId="73A6712A" w14:textId="2570791A" w:rsidR="005F7E61" w:rsidRDefault="00A634B9" w:rsidP="00AE57FB">
      <w:pPr>
        <w:jc w:val="both"/>
      </w:pPr>
      <w:r w:rsidRPr="00A634B9">
        <w:t>Som tidigare kommunicerats i samband med Företrädesemissionen hade garanterna, i enlighet med de garantiavtal som ingåtts, möjlighet att välja</w:t>
      </w:r>
      <w:r w:rsidR="006A136D">
        <w:t xml:space="preserve"> mellan</w:t>
      </w:r>
      <w:r w:rsidRPr="00A634B9">
        <w:t xml:space="preserve"> att erhålla</w:t>
      </w:r>
      <w:r w:rsidR="000F4CE1">
        <w:t xml:space="preserve"> </w:t>
      </w:r>
      <w:r w:rsidR="000D259E">
        <w:t xml:space="preserve">garantiersättning motsvarande </w:t>
      </w:r>
      <w:r w:rsidR="000F4CE1">
        <w:t>18</w:t>
      </w:r>
      <w:r w:rsidRPr="00A634B9">
        <w:t xml:space="preserve"> procent av </w:t>
      </w:r>
      <w:r w:rsidR="000D259E">
        <w:t>garantiåtagandet</w:t>
      </w:r>
      <w:r w:rsidRPr="00A634B9">
        <w:t xml:space="preserve"> i form av units i Bolaget </w:t>
      </w:r>
      <w:r w:rsidR="00DB51FC">
        <w:t>eller</w:t>
      </w:r>
      <w:r w:rsidRPr="00A634B9">
        <w:t xml:space="preserve"> </w:t>
      </w:r>
      <w:r w:rsidR="000F4CE1">
        <w:t xml:space="preserve">14 </w:t>
      </w:r>
      <w:r w:rsidRPr="00A634B9">
        <w:t>procent</w:t>
      </w:r>
      <w:r w:rsidR="000D259E">
        <w:t xml:space="preserve"> av garantiåtagandet</w:t>
      </w:r>
      <w:r w:rsidRPr="00A634B9">
        <w:t xml:space="preserve"> i kontant ersättning.</w:t>
      </w:r>
      <w:r w:rsidR="00DB51FC">
        <w:t xml:space="preserve"> </w:t>
      </w:r>
      <w:r w:rsidR="006A136D">
        <w:t>Två av de totalt tio</w:t>
      </w:r>
      <w:r w:rsidR="00DB51FC">
        <w:t xml:space="preserve"> garanter</w:t>
      </w:r>
      <w:r w:rsidR="006A136D">
        <w:t>na</w:t>
      </w:r>
      <w:r w:rsidR="00DB51FC">
        <w:t xml:space="preserve"> valde att erhålla sin garantiersättning i form av units i Bolaget.</w:t>
      </w:r>
      <w:r w:rsidRPr="00A634B9">
        <w:t xml:space="preserve"> Med anledning av detta beslutade styrelsen den </w:t>
      </w:r>
      <w:r w:rsidR="000C0905">
        <w:t>17</w:t>
      </w:r>
      <w:r w:rsidR="00AC4C85">
        <w:t xml:space="preserve"> januari 2024</w:t>
      </w:r>
      <w:r w:rsidRPr="00A634B9">
        <w:t xml:space="preserve">, med stöd av bemyndigande från årsstämman </w:t>
      </w:r>
      <w:r w:rsidR="00103B3F">
        <w:t>den 4 maj</w:t>
      </w:r>
      <w:r w:rsidRPr="00A634B9">
        <w:t xml:space="preserve"> 202</w:t>
      </w:r>
      <w:r>
        <w:t>3</w:t>
      </w:r>
      <w:r w:rsidRPr="00A634B9">
        <w:t xml:space="preserve">, om Kompensationsemissionen. </w:t>
      </w:r>
      <w:r w:rsidR="00DB51FC">
        <w:t>Teckningskursen i Kompensationsemissionen</w:t>
      </w:r>
      <w:r w:rsidR="005F7E61" w:rsidRPr="005F7E61">
        <w:t xml:space="preserve"> motsvarar den emissionskurs som fastställdes i Företrädesemissionen. Beräkningsgrunden för </w:t>
      </w:r>
      <w:r w:rsidR="00103B3F">
        <w:t>teckning</w:t>
      </w:r>
      <w:r w:rsidR="005F7E61" w:rsidRPr="005F7E61">
        <w:t>skursen har fastställts i garantiavtalen genom förhandling mellan garanterna och Bolaget på armlängds avstånd, i samråd med den finansiella rådgivaren och efter en analys av sedvanliga marknadsfaktorer. Mot bakgrund av detta bedömer styrelsen att teckningskursen är marknadsmässig.</w:t>
      </w:r>
    </w:p>
    <w:p w14:paraId="5C535521" w14:textId="03F5AC4F" w:rsidR="00027C52" w:rsidRDefault="00027C52" w:rsidP="00AE57FB">
      <w:pPr>
        <w:jc w:val="both"/>
      </w:pPr>
    </w:p>
    <w:p w14:paraId="02DFF399" w14:textId="791D5983" w:rsidR="00027C52" w:rsidRDefault="00027C52" w:rsidP="00AE57FB">
      <w:pPr>
        <w:jc w:val="both"/>
      </w:pPr>
      <w:r w:rsidRPr="00A37A29">
        <w:t xml:space="preserve">Skälet till avvikelsen från aktieägarnas företrädesrätt </w:t>
      </w:r>
      <w:r>
        <w:t xml:space="preserve">i den riktade emissionen </w:t>
      </w:r>
      <w:r w:rsidR="004D5352">
        <w:t xml:space="preserve">av units </w:t>
      </w:r>
      <w:r w:rsidRPr="00A37A29">
        <w:t xml:space="preserve">är att uppfylla Bolagets åtaganden gentemot garanterna till följd av ingångna garantiavtal i samband med </w:t>
      </w:r>
      <w:r w:rsidR="00F82CA9">
        <w:t>F</w:t>
      </w:r>
      <w:r w:rsidRPr="00A37A29">
        <w:t xml:space="preserve">öreträdesemissionen. Styrelsen anser även att det är till fördel för Bolagets finansiella ställning och i aktieägarnas intresse att tillvarata möjligheten att betala garantiersättningen i form av units i stället för kontant utbetalning, då det frigör medel som stärker Bolagets rörelsekapital. </w:t>
      </w:r>
    </w:p>
    <w:p w14:paraId="4AE5E97B" w14:textId="77777777" w:rsidR="005F7E61" w:rsidRDefault="005F7E61" w:rsidP="00AE57FB">
      <w:pPr>
        <w:jc w:val="both"/>
      </w:pPr>
    </w:p>
    <w:p w14:paraId="1EFD539E" w14:textId="63D34AC8" w:rsidR="00A634B9" w:rsidRDefault="00A634B9" w:rsidP="00AE57FB">
      <w:pPr>
        <w:jc w:val="both"/>
      </w:pPr>
      <w:r w:rsidRPr="00A634B9">
        <w:t xml:space="preserve">Sammanlagt har </w:t>
      </w:r>
      <w:r w:rsidR="000F4CE1">
        <w:t>15 000</w:t>
      </w:r>
      <w:r w:rsidRPr="00A634B9">
        <w:t xml:space="preserve"> units, motsvarande </w:t>
      </w:r>
      <w:r w:rsidR="00080226" w:rsidRPr="00080226">
        <w:t>180 000</w:t>
      </w:r>
      <w:r w:rsidRPr="00A634B9">
        <w:t xml:space="preserve"> nya aktier och </w:t>
      </w:r>
      <w:r w:rsidR="00E0532D">
        <w:t>120 000</w:t>
      </w:r>
      <w:r>
        <w:t xml:space="preserve"> </w:t>
      </w:r>
      <w:r w:rsidRPr="00A634B9">
        <w:t>teckningsoptioner av serie TO</w:t>
      </w:r>
      <w:r w:rsidR="00154C83">
        <w:t> </w:t>
      </w:r>
      <w:r w:rsidR="004A0558">
        <w:t>1</w:t>
      </w:r>
      <w:r w:rsidRPr="00A634B9">
        <w:t xml:space="preserve">, tecknats av och tilldelats de </w:t>
      </w:r>
      <w:r w:rsidR="00C47F9F">
        <w:t xml:space="preserve">två </w:t>
      </w:r>
      <w:r w:rsidRPr="00A634B9">
        <w:t xml:space="preserve">garanter som valt att erhålla garantiersättningen i units. </w:t>
      </w:r>
      <w:r w:rsidR="00681C68">
        <w:t>De</w:t>
      </w:r>
      <w:r w:rsidRPr="00A634B9">
        <w:t xml:space="preserve"> garant</w:t>
      </w:r>
      <w:r w:rsidR="00C47F9F">
        <w:t>er</w:t>
      </w:r>
      <w:r w:rsidRPr="00A634B9">
        <w:t xml:space="preserve"> som inte har valt att erhålla garantiersättning i form av units </w:t>
      </w:r>
      <w:r w:rsidR="00B1636F">
        <w:t>har</w:t>
      </w:r>
      <w:r w:rsidRPr="00A634B9">
        <w:t xml:space="preserve"> i stället erhåll</w:t>
      </w:r>
      <w:r w:rsidR="00B1636F">
        <w:t>it</w:t>
      </w:r>
      <w:r w:rsidRPr="00A634B9">
        <w:t xml:space="preserve"> kontant belopp motsvarande </w:t>
      </w:r>
      <w:r w:rsidR="0063308A">
        <w:t>14</w:t>
      </w:r>
      <w:r w:rsidR="00681C68">
        <w:t> </w:t>
      </w:r>
      <w:r w:rsidRPr="00A634B9">
        <w:t xml:space="preserve">procent av respektive garantiåtagande. Den kontanta delen av garantiersättningen uppgår till cirka </w:t>
      </w:r>
      <w:r w:rsidR="0063308A">
        <w:t>2,4</w:t>
      </w:r>
      <w:r w:rsidRPr="00A634B9">
        <w:t xml:space="preserve"> MSEK.</w:t>
      </w:r>
    </w:p>
    <w:p w14:paraId="228374A8" w14:textId="69AAC45C" w:rsidR="00F33E5A" w:rsidRDefault="00DC5F54" w:rsidP="004B0D73">
      <w:pPr>
        <w:pStyle w:val="Rubrik2"/>
      </w:pPr>
      <w:r>
        <w:t>Aktiekapital och antal aktier</w:t>
      </w:r>
    </w:p>
    <w:p w14:paraId="20747C9C" w14:textId="34F3AFF4" w:rsidR="00A634B9" w:rsidRDefault="00A634B9" w:rsidP="00AE57FB">
      <w:pPr>
        <w:jc w:val="both"/>
      </w:pPr>
      <w:r w:rsidRPr="00A634B9">
        <w:t xml:space="preserve">Genom Kompensationsemissionen kommer antalet aktier öka med </w:t>
      </w:r>
      <w:r w:rsidR="0028774C" w:rsidRPr="0028774C">
        <w:t>180 000</w:t>
      </w:r>
      <w:r>
        <w:t xml:space="preserve"> </w:t>
      </w:r>
      <w:r w:rsidRPr="00A634B9">
        <w:t xml:space="preserve">aktier, från </w:t>
      </w:r>
      <w:r w:rsidR="00C33FCD" w:rsidRPr="00C33FCD">
        <w:t>83 834 666</w:t>
      </w:r>
      <w:r>
        <w:t xml:space="preserve"> </w:t>
      </w:r>
      <w:r w:rsidRPr="00A634B9">
        <w:t xml:space="preserve">aktier till </w:t>
      </w:r>
      <w:r w:rsidR="002E4C10" w:rsidRPr="002E4C10">
        <w:t>84 014 666</w:t>
      </w:r>
      <w:r>
        <w:t xml:space="preserve"> </w:t>
      </w:r>
      <w:r w:rsidRPr="00A634B9">
        <w:t xml:space="preserve">aktier, och aktiekapitalet öka med </w:t>
      </w:r>
      <w:r w:rsidR="00AF54DA" w:rsidRPr="00AF54DA">
        <w:t>68</w:t>
      </w:r>
      <w:r w:rsidR="00AF54DA">
        <w:t> </w:t>
      </w:r>
      <w:r w:rsidR="00AF54DA" w:rsidRPr="00AF54DA">
        <w:t>400</w:t>
      </w:r>
      <w:r w:rsidR="00AF54DA">
        <w:t>,00</w:t>
      </w:r>
      <w:r w:rsidRPr="00A634B9">
        <w:t xml:space="preserve"> SEK, från </w:t>
      </w:r>
      <w:r w:rsidR="00E5352A" w:rsidRPr="00E5352A">
        <w:t xml:space="preserve">31 857 173,08 </w:t>
      </w:r>
      <w:r w:rsidRPr="00A634B9">
        <w:t>SEK till</w:t>
      </w:r>
      <w:r w:rsidR="00FE7C9D">
        <w:t xml:space="preserve"> </w:t>
      </w:r>
      <w:r w:rsidR="00FE7C9D" w:rsidRPr="00FE7C9D">
        <w:t>31 925 573,08</w:t>
      </w:r>
      <w:r w:rsidR="00FE7C9D">
        <w:t xml:space="preserve"> </w:t>
      </w:r>
      <w:r w:rsidRPr="00A634B9">
        <w:t xml:space="preserve">SEK, motsvarande en utspädningseffekt om cirka </w:t>
      </w:r>
      <w:r w:rsidR="00131378">
        <w:t>0,2</w:t>
      </w:r>
      <w:r w:rsidRPr="00A634B9">
        <w:t xml:space="preserve"> procent. För det fall samtliga vidhängande teckningsoptioner av serie TO </w:t>
      </w:r>
      <w:r w:rsidR="004A0558">
        <w:t>1</w:t>
      </w:r>
      <w:r w:rsidRPr="00A634B9">
        <w:t xml:space="preserve"> som emitteras i Kompensationsemissionen</w:t>
      </w:r>
      <w:r w:rsidR="0059784A">
        <w:t xml:space="preserve"> nyttjas</w:t>
      </w:r>
      <w:r w:rsidRPr="00A634B9">
        <w:t xml:space="preserve"> kommer antalet aktier i Bolaget att</w:t>
      </w:r>
      <w:r w:rsidR="00B24FB8">
        <w:t xml:space="preserve"> </w:t>
      </w:r>
      <w:r w:rsidRPr="00A634B9">
        <w:t xml:space="preserve">öka med ytterligare </w:t>
      </w:r>
      <w:r w:rsidR="0028774C" w:rsidRPr="0028774C">
        <w:t>120 000</w:t>
      </w:r>
      <w:r>
        <w:t xml:space="preserve"> </w:t>
      </w:r>
      <w:r w:rsidRPr="00A634B9">
        <w:t xml:space="preserve">aktier, från </w:t>
      </w:r>
      <w:r w:rsidR="00AF54DA" w:rsidRPr="00AF54DA">
        <w:t>84 014 666</w:t>
      </w:r>
      <w:r>
        <w:t xml:space="preserve"> </w:t>
      </w:r>
      <w:r w:rsidRPr="00A634B9">
        <w:t xml:space="preserve">aktier till </w:t>
      </w:r>
      <w:r w:rsidR="009F177E" w:rsidRPr="009F177E">
        <w:t>84 134 666</w:t>
      </w:r>
      <w:r>
        <w:t xml:space="preserve"> </w:t>
      </w:r>
      <w:r w:rsidRPr="00A634B9">
        <w:t xml:space="preserve">aktier, och aktiekapitalet öka med ytterligare </w:t>
      </w:r>
      <w:r w:rsidR="00611C48" w:rsidRPr="00611C48">
        <w:t>45</w:t>
      </w:r>
      <w:r w:rsidR="00611C48">
        <w:t> </w:t>
      </w:r>
      <w:r w:rsidR="00611C48" w:rsidRPr="00611C48">
        <w:t>600</w:t>
      </w:r>
      <w:r w:rsidR="00611C48">
        <w:t>,00</w:t>
      </w:r>
      <w:r>
        <w:t xml:space="preserve"> </w:t>
      </w:r>
      <w:r w:rsidRPr="00A634B9">
        <w:t xml:space="preserve">SEK, från </w:t>
      </w:r>
      <w:r w:rsidR="00611C48" w:rsidRPr="00611C48">
        <w:t>31 925 573,08</w:t>
      </w:r>
      <w:r>
        <w:t xml:space="preserve"> </w:t>
      </w:r>
      <w:r w:rsidRPr="00A634B9">
        <w:t xml:space="preserve">SEK till </w:t>
      </w:r>
      <w:r w:rsidR="00611C48" w:rsidRPr="00611C48">
        <w:t>31 971 173,08</w:t>
      </w:r>
      <w:r>
        <w:t xml:space="preserve"> </w:t>
      </w:r>
      <w:r w:rsidRPr="00A634B9">
        <w:t>SEK, motsvarande en ytterligare utspädning om</w:t>
      </w:r>
      <w:r w:rsidR="00611C48">
        <w:t xml:space="preserve"> cirka</w:t>
      </w:r>
      <w:r w:rsidRPr="00A634B9">
        <w:t xml:space="preserve"> </w:t>
      </w:r>
      <w:r w:rsidR="00A60FE2">
        <w:lastRenderedPageBreak/>
        <w:t>0,14</w:t>
      </w:r>
      <w:r>
        <w:t xml:space="preserve"> </w:t>
      </w:r>
      <w:r w:rsidRPr="00A634B9">
        <w:t>procent.</w:t>
      </w:r>
      <w:r w:rsidR="00E95FE2">
        <w:t xml:space="preserve"> Genom Företrädesemissionen och Kompensationsemissionen har totalt 35 155 384 teckningsoptioner av serie TO 1 emitterats. För det fall samtliga </w:t>
      </w:r>
      <w:proofErr w:type="gramStart"/>
      <w:r w:rsidR="00E95FE2">
        <w:t>utestående teckningsoptioner</w:t>
      </w:r>
      <w:proofErr w:type="gramEnd"/>
      <w:r w:rsidR="00E95FE2">
        <w:t xml:space="preserve"> av serie TO 1 nyttjas för teckning av aktier kommer antalet aktier i Bolaget att öka med 35 155 384 aktier, från 84 014 666 aktier till 119 170 050 aktier, och aktiekapitalet kommer att öka med 13 359 045,92 SEK, från </w:t>
      </w:r>
      <w:r w:rsidR="00E95FE2" w:rsidRPr="00611C48">
        <w:t>31 925 573,08</w:t>
      </w:r>
      <w:r w:rsidR="00E95FE2">
        <w:t xml:space="preserve"> </w:t>
      </w:r>
      <w:r w:rsidR="00E95FE2" w:rsidRPr="00A634B9">
        <w:t>SEK</w:t>
      </w:r>
      <w:r w:rsidR="00E95FE2">
        <w:t xml:space="preserve"> till 45 284 619 SEK</w:t>
      </w:r>
      <w:r w:rsidR="00227DD7">
        <w:t>, motsvarande en utspädningseffekt om cirka 29,5 procent av rösterna och kapitalet i Bolaget.</w:t>
      </w:r>
    </w:p>
    <w:p w14:paraId="4F574193" w14:textId="52A17BCC" w:rsidR="00F33E5A" w:rsidRDefault="00F33E5A" w:rsidP="004B0D73">
      <w:pPr>
        <w:pStyle w:val="Rubrik2"/>
      </w:pPr>
      <w:r>
        <w:t>Rådgivare</w:t>
      </w:r>
    </w:p>
    <w:p w14:paraId="4A888167" w14:textId="327666CE" w:rsidR="00F33E5A" w:rsidRDefault="009B52E5" w:rsidP="004B0D73">
      <w:r w:rsidRPr="009B52E5">
        <w:t xml:space="preserve">Stockholm Corporate Finance AB </w:t>
      </w:r>
      <w:r w:rsidR="00DC5F54">
        <w:t>agerade</w:t>
      </w:r>
      <w:r w:rsidRPr="009B52E5">
        <w:t xml:space="preserve"> finansiell rådgivare</w:t>
      </w:r>
      <w:r w:rsidR="00DC5F54">
        <w:t xml:space="preserve">, </w:t>
      </w:r>
      <w:r w:rsidR="004A0558">
        <w:t>HWF Advokater AB</w:t>
      </w:r>
      <w:r w:rsidRPr="009B52E5">
        <w:t xml:space="preserve"> legal rådgivare </w:t>
      </w:r>
      <w:r w:rsidR="00DC5F54">
        <w:t xml:space="preserve">och </w:t>
      </w:r>
      <w:r w:rsidR="004A0558">
        <w:t>Hagberg &amp; Aneborn Fondkommission AB</w:t>
      </w:r>
      <w:r w:rsidRPr="009B52E5">
        <w:t xml:space="preserve"> </w:t>
      </w:r>
      <w:r w:rsidR="00DC5F54">
        <w:t>som</w:t>
      </w:r>
      <w:r w:rsidRPr="009B52E5">
        <w:t xml:space="preserve"> emissionsinstitut i samband med </w:t>
      </w:r>
      <w:r w:rsidR="00DC5F54">
        <w:t>Kompensationsemissionen</w:t>
      </w:r>
      <w:r w:rsidRPr="009B52E5">
        <w:t>.</w:t>
      </w:r>
    </w:p>
    <w:p w14:paraId="015C52DA" w14:textId="5A39E570" w:rsidR="00F33E5A" w:rsidRDefault="00F33E5A" w:rsidP="004B0D73">
      <w:pPr>
        <w:pStyle w:val="Rubrik2"/>
      </w:pPr>
      <w:r>
        <w:t>För ytterligare information</w:t>
      </w:r>
    </w:p>
    <w:p w14:paraId="0BEE76B7" w14:textId="77777777" w:rsidR="00CD0573" w:rsidRPr="009B52E5" w:rsidRDefault="00CD0573" w:rsidP="004B0D73">
      <w:r w:rsidRPr="009B52E5">
        <w:t>Jonas Jönmark, VD</w:t>
      </w:r>
    </w:p>
    <w:p w14:paraId="4DEBFAC6" w14:textId="77777777" w:rsidR="00CD0573" w:rsidRPr="00A035DE" w:rsidRDefault="00CD0573" w:rsidP="004B0D73">
      <w:pPr>
        <w:rPr>
          <w:lang w:val="en-US"/>
        </w:rPr>
      </w:pPr>
      <w:r w:rsidRPr="00A035DE">
        <w:rPr>
          <w:lang w:val="en-US"/>
        </w:rPr>
        <w:t>Tel: +46 70 365 5400</w:t>
      </w:r>
    </w:p>
    <w:p w14:paraId="056EC1F4" w14:textId="63FF22EE" w:rsidR="00F33E5A" w:rsidRPr="00A035DE" w:rsidRDefault="00CD0573" w:rsidP="004B0D73">
      <w:pPr>
        <w:rPr>
          <w:lang w:val="en-US"/>
        </w:rPr>
      </w:pPr>
      <w:r w:rsidRPr="00A035DE">
        <w:rPr>
          <w:lang w:val="en-US"/>
        </w:rPr>
        <w:t>E-post: jonas.jonmark@acucort.se</w:t>
      </w:r>
    </w:p>
    <w:p w14:paraId="595F03D7" w14:textId="77777777" w:rsidR="00F33E5A" w:rsidRDefault="00F33E5A" w:rsidP="004B0D73">
      <w:pPr>
        <w:rPr>
          <w:lang w:val="en-US"/>
        </w:rPr>
      </w:pPr>
    </w:p>
    <w:p w14:paraId="54254200" w14:textId="01005C54" w:rsidR="004B0D73" w:rsidRDefault="004B0D73" w:rsidP="004B0D73">
      <w:r w:rsidRPr="004B0D73">
        <w:t>Besök g</w:t>
      </w:r>
      <w:r>
        <w:t xml:space="preserve">ärna Bolagets hemsida: </w:t>
      </w:r>
      <w:hyperlink r:id="rId11" w:history="1">
        <w:r w:rsidRPr="009D638E">
          <w:rPr>
            <w:rStyle w:val="Hyperlnk"/>
          </w:rPr>
          <w:t>www.acucort.se</w:t>
        </w:r>
      </w:hyperlink>
    </w:p>
    <w:p w14:paraId="3D360FEA" w14:textId="43A3A143" w:rsidR="00F33E5A" w:rsidRPr="009B52E5" w:rsidRDefault="00F33E5A" w:rsidP="004B0D73">
      <w:pPr>
        <w:pStyle w:val="Rubrik2"/>
      </w:pPr>
      <w:r w:rsidRPr="009B52E5">
        <w:t>Om AcuCort AB</w:t>
      </w:r>
    </w:p>
    <w:p w14:paraId="1A8CCEED" w14:textId="77777777" w:rsidR="00AE57FB" w:rsidRPr="00CD0573" w:rsidRDefault="00AE57FB" w:rsidP="00AE57FB">
      <w:pPr>
        <w:jc w:val="both"/>
      </w:pPr>
      <w:r w:rsidRPr="00CD0573">
        <w:t>AcuCort har utvecklat och kommersialiserar Zeqmelit®, en ny snabblöslig munfilm att lägga på tungan, baserad på den välkända kortisonsubstansen dexametason. Läkemedlet är en smart produkt i en ny, innovativ, patenterad och användarvänlig administrationsform i första hand för behandling av svåra och akuta allergiska reaktioner, krupp hos barn, illamående och kräkningar vid cellgiftsbehandling samt för behandling av patienter med covid-19 som behöver kompletterande syrebehandling. Zeqmelit® är godkänt i Sverige, Danmark, Norge och Finland</w:t>
      </w:r>
      <w:r>
        <w:t xml:space="preserve">. </w:t>
      </w:r>
      <w:r w:rsidRPr="00CD0573">
        <w:t>AcuCort (kortnamn: ACUC) är noterat på Spotlight Stock Market. Besök gärna www.acucort.se.</w:t>
      </w:r>
    </w:p>
    <w:p w14:paraId="103C95B6" w14:textId="369F8531" w:rsidR="00F33E5A" w:rsidRPr="009B52E5" w:rsidRDefault="00F33E5A" w:rsidP="004B0D73">
      <w:pPr>
        <w:pStyle w:val="Rubrik2"/>
      </w:pPr>
      <w:r w:rsidRPr="009B52E5">
        <w:t>Om Stockholm Corporate Finance AB</w:t>
      </w:r>
    </w:p>
    <w:p w14:paraId="40C3417E" w14:textId="77777777" w:rsidR="000525F4" w:rsidRPr="008350A5" w:rsidRDefault="000525F4" w:rsidP="00AE57FB">
      <w:pPr>
        <w:jc w:val="both"/>
        <w:rPr>
          <w:rFonts w:cstheme="minorHAnsi"/>
          <w:szCs w:val="20"/>
        </w:rPr>
      </w:pPr>
      <w:r w:rsidRPr="00886B0B">
        <w:rPr>
          <w:rFonts w:cstheme="minorHAnsi"/>
          <w:szCs w:val="20"/>
        </w:rPr>
        <w:t xml:space="preserve">Stockholm Corporate Finance är en oberoende privatägd finansiell rådgivare som erbjuder tjänster inom kvalificerad rådgivning avseende kapitalanskaffning, ägarförändringar, fusioner och förvärv (M&amp;A) till börsnoterade och privata företag och dess ägare. Stockholm Corporate Finance är ett värdepappersföretag som står under Finansinspektionens tillsyn och är medlem i branschorganisationen SwedSec Licensiering AB. För mer information se: </w:t>
      </w:r>
      <w:r w:rsidRPr="00C32D15">
        <w:rPr>
          <w:rFonts w:cstheme="minorHAnsi"/>
          <w:szCs w:val="20"/>
        </w:rPr>
        <w:t>www.stockholmcorp.se</w:t>
      </w:r>
    </w:p>
    <w:p w14:paraId="1A8EFAC7" w14:textId="77777777" w:rsidR="00D2547D" w:rsidRPr="009B52E5" w:rsidRDefault="00D2547D" w:rsidP="00D2547D">
      <w:pPr>
        <w:pStyle w:val="Rubrik2"/>
      </w:pPr>
      <w:r w:rsidRPr="009B52E5">
        <w:t>Viktig information</w:t>
      </w:r>
    </w:p>
    <w:p w14:paraId="7A3772BD" w14:textId="77777777" w:rsidR="00D2547D" w:rsidRDefault="00D2547D" w:rsidP="00D2547D">
      <w:pPr>
        <w:jc w:val="both"/>
      </w:pPr>
      <w:r w:rsidRPr="00CD0573">
        <w:t>Publicering, offentliggörande eller distributionen av detta pressmeddelande kan i vissa jurisdiktioner vara föremål för restriktioner. Mottagarna av detta pressmeddelande i jurisdiktioner där detta pressmeddelande har publicerats eller distribuerats ska informera sig själva om och följa sådana begränsningar. Detta pressmeddelande utgör inte ett erbjudande</w:t>
      </w:r>
      <w:r>
        <w:t xml:space="preserve"> för allmänheten </w:t>
      </w:r>
      <w:r w:rsidRPr="00CD0573">
        <w:t xml:space="preserve">att </w:t>
      </w:r>
      <w:r>
        <w:t>förvärva,</w:t>
      </w:r>
      <w:r w:rsidRPr="00CD0573">
        <w:t xml:space="preserve"> teckna</w:t>
      </w:r>
      <w:r>
        <w:t xml:space="preserve"> eller på annat sätt handla med aktier eller andra</w:t>
      </w:r>
      <w:r w:rsidRPr="00CD0573">
        <w:t xml:space="preserve"> värdepapper i Bolaget i </w:t>
      </w:r>
      <w:r>
        <w:t>andra jurisdiktioner än Sverige och Danmark.</w:t>
      </w:r>
    </w:p>
    <w:p w14:paraId="3C39C3AE" w14:textId="77777777" w:rsidR="00D2547D" w:rsidRDefault="00D2547D" w:rsidP="00D2547D">
      <w:pPr>
        <w:jc w:val="both"/>
      </w:pPr>
    </w:p>
    <w:p w14:paraId="0F14D057" w14:textId="77777777" w:rsidR="00D2547D" w:rsidRDefault="00D2547D" w:rsidP="00D2547D">
      <w:pPr>
        <w:jc w:val="both"/>
      </w:pPr>
      <w:r w:rsidRPr="00CD0573">
        <w:t xml:space="preserve">Informationen i detta pressmeddelande får inte offentliggöras, publiceras eller distribueras, direkt eller indirekt, </w:t>
      </w:r>
      <w:r>
        <w:t xml:space="preserve">i eller </w:t>
      </w:r>
      <w:r w:rsidRPr="00CD0573">
        <w:t xml:space="preserve">till </w:t>
      </w:r>
      <w:r w:rsidRPr="00345EDF">
        <w:t>USA, Australien, Hongkong, Japan</w:t>
      </w:r>
      <w:r>
        <w:t>,</w:t>
      </w:r>
      <w:r w:rsidRPr="00345EDF">
        <w:t xml:space="preserve"> Kanada, Nya Zeeland, Schweiz, Singapore, Sydafrika, Sydkorea, Ryssland, Belarus</w:t>
      </w:r>
      <w:r>
        <w:t xml:space="preserve"> </w:t>
      </w:r>
      <w:r w:rsidRPr="00CD0573">
        <w:t xml:space="preserve">eller någon annan jurisdiktion där offentliggörandet, publiceringen eller distributionen av informationen inte skulle följa gällande lagar och förordningar eller skulle kräva </w:t>
      </w:r>
      <w:r>
        <w:t xml:space="preserve">ytterligare </w:t>
      </w:r>
      <w:r w:rsidRPr="00CD0573">
        <w:t xml:space="preserve">prospekt, registrering eller andra åtgärder än de som krävs enligt svensk </w:t>
      </w:r>
      <w:r>
        <w:t xml:space="preserve">eller dansk </w:t>
      </w:r>
      <w:r w:rsidRPr="00CD0573">
        <w:t>lag.</w:t>
      </w:r>
      <w:r>
        <w:t xml:space="preserve"> Informationen i detta pressmeddelande får inte heller vidarebefordras eller reproduceras på sätt som står i strid med sådana restriktioner eller skulle innebära sådana krav.  Åtgärder i strid med denna anvisning kan utgöra brott mot tillämplig värdepapperslagstiftning. Varken uniträtter, betalda och tecknade units, nya aktier eller teckningsoptioner som tecknats i erbjudandet har registrerats eller kommer att registreras enligt United States Securities Act från 1933 i sin nuvarande lydelse (”Securities Act”) och får inte erbjudas, tecknas, utnyttjas, pantsättas, säljas, återförsäljas, levereras eller överföras, direkt eller indirekt, i eller till USA, förutom enligt ett tillämpligt undantag från registreringskraven i Securities Act. </w:t>
      </w:r>
    </w:p>
    <w:p w14:paraId="2C896330" w14:textId="77777777" w:rsidR="00D2547D" w:rsidRDefault="00D2547D" w:rsidP="00D2547D">
      <w:pPr>
        <w:jc w:val="both"/>
      </w:pPr>
    </w:p>
    <w:p w14:paraId="2A59991C" w14:textId="4359C73C" w:rsidR="00D2547D" w:rsidRDefault="00D2547D" w:rsidP="006433D9">
      <w:pPr>
        <w:jc w:val="both"/>
      </w:pPr>
      <w:r>
        <w:t xml:space="preserve">Informationen i detta pressmeddelande utgör inte ett erbjudande att förvärva, teckna eller på annat sätt handla med aktier eller andra värdepapper i AcuCort. </w:t>
      </w:r>
      <w:r w:rsidRPr="00CD0573">
        <w:t>Detta dokument har inte godkänts av någon myndighet, och informationen utgör inte ett prospekt. I en EES-medlemsstat riktar sig detta meddelande endast till kvalificerade investerare i den medlemsstaten enligt prospektförordningens (2017/1129) mening.</w:t>
      </w:r>
    </w:p>
    <w:p w14:paraId="4A5390D3" w14:textId="77777777" w:rsidR="00D2547D" w:rsidRPr="009B52E5" w:rsidRDefault="00D2547D" w:rsidP="00D2547D">
      <w:pPr>
        <w:pStyle w:val="Rubrik2"/>
      </w:pPr>
      <w:r w:rsidRPr="009B52E5">
        <w:lastRenderedPageBreak/>
        <w:t>Framåtriktade uttalanden</w:t>
      </w:r>
    </w:p>
    <w:p w14:paraId="02E7DDB3" w14:textId="77777777" w:rsidR="00D2547D" w:rsidRPr="00CD0573" w:rsidRDefault="00D2547D" w:rsidP="00D2547D">
      <w:pPr>
        <w:jc w:val="both"/>
      </w:pPr>
      <w:r w:rsidRPr="00490437">
        <w:t>Detta pressmeddelande kan innehålla vissa framåtriktade uttalanden som återspeglar Bolagets avsikter, övertygelser eller nuvarande förväntningar om och mål för Bolagets framtida verksamheter, finansiella situation, likviditet, resultat, utsikter, förväntad tillväxt, strategier och möjligheter samt marknaderna där Bolaget verkar, bland annat med avseende på utsikterna för läkemedelsbehandlingar och studier. Framåtriktade uttalanden är uttalanden som inte är historiska fakta och som kan identifieras med ord som ”tro”, ”förvänta”, ”förutse”, ”avse”, ”kan”, ”planera”, ”uppskatta”, ”ska”, ”bör”, ”kunde”, ”sikta” eller ”kanske” eller, i varje enskilt fall, deras negativa, eller liknande, uttryck. De framåtriktade uttalandena i detta pressmeddelande baseras på olika antaganden, varav många i sin tur baseras på ytterligare antaganden. Trots att Bolaget anser att förväntningarna som återspeglas i dessa framåtriktade uttalanden är rimliga, kan det inte ge några garantier om att de kommer att inträffa eller visa sig vara korrekta. Eftersom dessa uttalanden grundar sig på antaganden eller uppskattningar och är föremål för risker och osäkerhetsfaktorer kan de faktiska resultaten eller resultatet skilja sig väsentligt från de som framgår av de framåtriktade uttalandena vilka är ett resultat av många faktorer. Sådana risker, osäkerhetsfaktorer, oförutsedda händelser och andra viktiga faktorer kan leda till att faktiska händelser skiljer sig väsentligt från de förväntningar som uttrycks eller är underförstådda i detta pressmeddelande genom sådana framåtblickande uttalanden. Bolaget garanterar inte att antagandena bakom de framåtriktade uttalandena i detta pressmeddelande är fria från fel och accepterar inte något ansvar för framtida exakthet i de åsikter som uttrycks i detta pressmeddelande eller någon skyldighet att uppdatera eller revidera uttalandena i detta pressmeddelande för att återspegla efterföljande händelser. Informationen, åsikter och framåtriktade uttalanden som ingår i detta pressmeddelande avser endast situationen vid dess datering och kan komma att ändras utan föregående meddelande. Bolaget åtar sig inte någon skyldighet att granska, uppdatera, bekräfta eller offentliggöra några revideringar av framåtriktade uttalanden för att avspegla händelser som uppstår eller omständigheter som uppstår i relation till innehållet i detta pressmeddelande.</w:t>
      </w:r>
    </w:p>
    <w:p w14:paraId="1430D6D9" w14:textId="77777777" w:rsidR="00D2547D" w:rsidRDefault="00D2547D" w:rsidP="00D2547D"/>
    <w:p w14:paraId="3D3C7D30" w14:textId="77777777" w:rsidR="00A27050" w:rsidRDefault="00A27050" w:rsidP="00A27050">
      <w:r>
        <w:t>AcuCort AB</w:t>
      </w:r>
    </w:p>
    <w:p w14:paraId="549B80B7" w14:textId="77777777" w:rsidR="00A27050" w:rsidRDefault="00A27050" w:rsidP="00A27050">
      <w:r>
        <w:t>Scheeletorget 1</w:t>
      </w:r>
    </w:p>
    <w:p w14:paraId="6CA5C3FF" w14:textId="77777777" w:rsidR="00A27050" w:rsidRDefault="00A27050" w:rsidP="00A27050">
      <w:r>
        <w:t>SE-223 81 Lund</w:t>
      </w:r>
    </w:p>
    <w:p w14:paraId="1D41E0B7" w14:textId="72895BAD" w:rsidR="004B0D73" w:rsidRPr="00DC5F54" w:rsidRDefault="004B0D73" w:rsidP="00D2547D">
      <w:pPr>
        <w:pStyle w:val="Rubrik2"/>
      </w:pPr>
    </w:p>
    <w:sectPr w:rsidR="004B0D73" w:rsidRPr="00DC5F54" w:rsidSect="00F33E5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EF78" w14:textId="77777777" w:rsidR="00BC4500" w:rsidRDefault="00BC4500" w:rsidP="00FF4EAB">
      <w:r>
        <w:separator/>
      </w:r>
    </w:p>
  </w:endnote>
  <w:endnote w:type="continuationSeparator" w:id="0">
    <w:p w14:paraId="5A6B6230" w14:textId="77777777" w:rsidR="00BC4500" w:rsidRDefault="00BC4500" w:rsidP="00FF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CFD2" w14:textId="77777777" w:rsidR="00DF3082" w:rsidRDefault="00DF308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CE06" w14:textId="77777777" w:rsidR="00DF3082" w:rsidRDefault="00DF3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2123" w14:textId="77777777" w:rsidR="00DF3082" w:rsidRDefault="00DF30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32ED" w14:textId="77777777" w:rsidR="00BC4500" w:rsidRDefault="00BC4500" w:rsidP="00FF4EAB">
      <w:r>
        <w:separator/>
      </w:r>
    </w:p>
  </w:footnote>
  <w:footnote w:type="continuationSeparator" w:id="0">
    <w:p w14:paraId="306261E2" w14:textId="77777777" w:rsidR="00BC4500" w:rsidRDefault="00BC4500" w:rsidP="00FF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99E8" w14:textId="77777777" w:rsidR="00DF3082" w:rsidRDefault="00DF308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8CD4" w14:textId="77777777" w:rsidR="00DF3082" w:rsidRDefault="00DF308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F79A" w14:textId="72954760" w:rsidR="000C0905" w:rsidRDefault="000C0905" w:rsidP="000C0905">
    <w:pPr>
      <w:pStyle w:val="Rubrik2"/>
      <w:ind w:left="3912" w:firstLine="1304"/>
    </w:pPr>
    <w:r w:rsidRPr="000C0905">
      <w:rPr>
        <w:noProof/>
      </w:rPr>
      <w:drawing>
        <wp:inline distT="0" distB="0" distL="0" distR="0" wp14:anchorId="5F75B45B" wp14:editId="4194E22C">
          <wp:extent cx="2159000" cy="419100"/>
          <wp:effectExtent l="0" t="0" r="0" b="0"/>
          <wp:docPr id="1" name="Bildobjekt 1" descr="En bild som visar Grafik, Teckensnitt,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Teckensnitt, grafisk design, logotyp&#10;&#10;Automatiskt genererad beskrivning"/>
                  <pic:cNvPicPr/>
                </pic:nvPicPr>
                <pic:blipFill>
                  <a:blip r:embed="rId1"/>
                  <a:stretch>
                    <a:fillRect/>
                  </a:stretch>
                </pic:blipFill>
                <pic:spPr>
                  <a:xfrm>
                    <a:off x="0" y="0"/>
                    <a:ext cx="2159000" cy="419100"/>
                  </a:xfrm>
                  <a:prstGeom prst="rect">
                    <a:avLst/>
                  </a:prstGeom>
                </pic:spPr>
              </pic:pic>
            </a:graphicData>
          </a:graphic>
        </wp:inline>
      </w:drawing>
    </w:r>
  </w:p>
  <w:p w14:paraId="27C52480" w14:textId="77777777" w:rsidR="000C0905" w:rsidRDefault="000C0905" w:rsidP="000C0905">
    <w:pPr>
      <w:pStyle w:val="Rubrik2"/>
    </w:pPr>
    <w:r>
      <w:t>Pressmeddelande</w:t>
    </w:r>
    <w:r>
      <w:tab/>
    </w:r>
    <w:r>
      <w:tab/>
    </w:r>
    <w:r>
      <w:tab/>
    </w:r>
  </w:p>
  <w:p w14:paraId="63B8D4ED" w14:textId="6D244DEB" w:rsidR="000C0905" w:rsidRDefault="000C0905" w:rsidP="000C0905">
    <w:pPr>
      <w:pStyle w:val="Sidhuvud"/>
    </w:pPr>
    <w:r>
      <w:t xml:space="preserve">2024-01-17 </w:t>
    </w:r>
  </w:p>
  <w:p w14:paraId="1F117659" w14:textId="6AA554F3" w:rsidR="00F33E5A" w:rsidRDefault="00F33E5A" w:rsidP="000C09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490"/>
    <w:multiLevelType w:val="hybridMultilevel"/>
    <w:tmpl w:val="89A618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427AC7"/>
    <w:multiLevelType w:val="hybridMultilevel"/>
    <w:tmpl w:val="3700856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9BD76A4"/>
    <w:multiLevelType w:val="hybridMultilevel"/>
    <w:tmpl w:val="99560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6A"/>
    <w:rsid w:val="00027C52"/>
    <w:rsid w:val="00033BB8"/>
    <w:rsid w:val="00036FF2"/>
    <w:rsid w:val="000525F4"/>
    <w:rsid w:val="00054B86"/>
    <w:rsid w:val="00080226"/>
    <w:rsid w:val="000A2A81"/>
    <w:rsid w:val="000B4689"/>
    <w:rsid w:val="000C0905"/>
    <w:rsid w:val="000D259E"/>
    <w:rsid w:val="000E37FA"/>
    <w:rsid w:val="000F4CE1"/>
    <w:rsid w:val="00103B3F"/>
    <w:rsid w:val="00115DF6"/>
    <w:rsid w:val="00131378"/>
    <w:rsid w:val="00141A6A"/>
    <w:rsid w:val="00154C83"/>
    <w:rsid w:val="00162F12"/>
    <w:rsid w:val="00176D9B"/>
    <w:rsid w:val="002046FB"/>
    <w:rsid w:val="00210E31"/>
    <w:rsid w:val="00225853"/>
    <w:rsid w:val="00227DD7"/>
    <w:rsid w:val="002312C1"/>
    <w:rsid w:val="0028774C"/>
    <w:rsid w:val="0029225D"/>
    <w:rsid w:val="002B7915"/>
    <w:rsid w:val="002E4C10"/>
    <w:rsid w:val="00367F81"/>
    <w:rsid w:val="003776F8"/>
    <w:rsid w:val="00461C4D"/>
    <w:rsid w:val="00466E5A"/>
    <w:rsid w:val="00484DC9"/>
    <w:rsid w:val="004A0558"/>
    <w:rsid w:val="004B0D73"/>
    <w:rsid w:val="004B31B7"/>
    <w:rsid w:val="004D5352"/>
    <w:rsid w:val="00590F93"/>
    <w:rsid w:val="0059784A"/>
    <w:rsid w:val="005F7E61"/>
    <w:rsid w:val="006018A2"/>
    <w:rsid w:val="00611C48"/>
    <w:rsid w:val="0063308A"/>
    <w:rsid w:val="006433D9"/>
    <w:rsid w:val="00681C68"/>
    <w:rsid w:val="006A136D"/>
    <w:rsid w:val="007004E2"/>
    <w:rsid w:val="007A37CA"/>
    <w:rsid w:val="007E45C6"/>
    <w:rsid w:val="008D442C"/>
    <w:rsid w:val="008E4A5F"/>
    <w:rsid w:val="00902193"/>
    <w:rsid w:val="009052B8"/>
    <w:rsid w:val="00911251"/>
    <w:rsid w:val="009147B4"/>
    <w:rsid w:val="009646B4"/>
    <w:rsid w:val="009B52E5"/>
    <w:rsid w:val="009E00A9"/>
    <w:rsid w:val="009F177E"/>
    <w:rsid w:val="009F7B20"/>
    <w:rsid w:val="00A035DE"/>
    <w:rsid w:val="00A27050"/>
    <w:rsid w:val="00A37A29"/>
    <w:rsid w:val="00A60FE2"/>
    <w:rsid w:val="00A634B9"/>
    <w:rsid w:val="00AB16B8"/>
    <w:rsid w:val="00AB4853"/>
    <w:rsid w:val="00AB7019"/>
    <w:rsid w:val="00AC4C85"/>
    <w:rsid w:val="00AD7527"/>
    <w:rsid w:val="00AE57FB"/>
    <w:rsid w:val="00AF54DA"/>
    <w:rsid w:val="00B1636F"/>
    <w:rsid w:val="00B24FB8"/>
    <w:rsid w:val="00B36D59"/>
    <w:rsid w:val="00BC4500"/>
    <w:rsid w:val="00C33FCD"/>
    <w:rsid w:val="00C47F9F"/>
    <w:rsid w:val="00CD0573"/>
    <w:rsid w:val="00CF174F"/>
    <w:rsid w:val="00D07549"/>
    <w:rsid w:val="00D2547D"/>
    <w:rsid w:val="00D5052B"/>
    <w:rsid w:val="00D82226"/>
    <w:rsid w:val="00D90A2A"/>
    <w:rsid w:val="00DB51FC"/>
    <w:rsid w:val="00DC5F54"/>
    <w:rsid w:val="00DF1786"/>
    <w:rsid w:val="00DF3082"/>
    <w:rsid w:val="00E0532D"/>
    <w:rsid w:val="00E33644"/>
    <w:rsid w:val="00E5352A"/>
    <w:rsid w:val="00E63005"/>
    <w:rsid w:val="00E77EA9"/>
    <w:rsid w:val="00E95FE2"/>
    <w:rsid w:val="00EB6CC4"/>
    <w:rsid w:val="00EE5D6F"/>
    <w:rsid w:val="00F33E5A"/>
    <w:rsid w:val="00F82CA9"/>
    <w:rsid w:val="00F96D6A"/>
    <w:rsid w:val="00FE7C9D"/>
    <w:rsid w:val="00FF4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E176"/>
  <w15:chartTrackingRefBased/>
  <w15:docId w15:val="{6D90BFB4-83BE-4090-A2F6-7C89AA02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AB"/>
    <w:pPr>
      <w:spacing w:after="0" w:line="240" w:lineRule="auto"/>
    </w:pPr>
    <w:rPr>
      <w:sz w:val="20"/>
    </w:rPr>
  </w:style>
  <w:style w:type="paragraph" w:styleId="Rubrik1">
    <w:name w:val="heading 1"/>
    <w:basedOn w:val="Normal"/>
    <w:next w:val="Normal"/>
    <w:link w:val="Rubrik1Char"/>
    <w:uiPriority w:val="9"/>
    <w:qFormat/>
    <w:rsid w:val="009B52E5"/>
    <w:pPr>
      <w:keepNext/>
      <w:keepLines/>
      <w:spacing w:before="240" w:after="240"/>
      <w:outlineLvl w:val="0"/>
    </w:pPr>
    <w:rPr>
      <w:rFonts w:ascii="Cambria" w:eastAsiaTheme="majorEastAsia" w:hAnsi="Cambria" w:cstheme="majorBidi"/>
      <w:b/>
      <w:color w:val="002060"/>
      <w:sz w:val="36"/>
      <w:szCs w:val="32"/>
    </w:rPr>
  </w:style>
  <w:style w:type="paragraph" w:styleId="Rubrik2">
    <w:name w:val="heading 2"/>
    <w:basedOn w:val="Normal"/>
    <w:next w:val="Normal"/>
    <w:link w:val="Rubrik2Char"/>
    <w:uiPriority w:val="9"/>
    <w:unhideWhenUsed/>
    <w:qFormat/>
    <w:rsid w:val="009B52E5"/>
    <w:pPr>
      <w:keepNext/>
      <w:keepLines/>
      <w:spacing w:before="160"/>
      <w:outlineLvl w:val="1"/>
    </w:pPr>
    <w:rPr>
      <w:rFonts w:eastAsiaTheme="majorEastAsia" w:cstheme="majorBidi"/>
      <w:b/>
      <w:color w:val="002060"/>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F4EAB"/>
    <w:pPr>
      <w:tabs>
        <w:tab w:val="center" w:pos="4536"/>
        <w:tab w:val="right" w:pos="9072"/>
      </w:tabs>
    </w:pPr>
  </w:style>
  <w:style w:type="character" w:customStyle="1" w:styleId="SidhuvudChar">
    <w:name w:val="Sidhuvud Char"/>
    <w:basedOn w:val="Standardstycketeckensnitt"/>
    <w:link w:val="Sidhuvud"/>
    <w:uiPriority w:val="99"/>
    <w:rsid w:val="00FF4EAB"/>
  </w:style>
  <w:style w:type="paragraph" w:styleId="Sidfot">
    <w:name w:val="footer"/>
    <w:basedOn w:val="Normal"/>
    <w:link w:val="SidfotChar"/>
    <w:uiPriority w:val="99"/>
    <w:unhideWhenUsed/>
    <w:rsid w:val="00FF4EAB"/>
    <w:pPr>
      <w:tabs>
        <w:tab w:val="center" w:pos="4536"/>
        <w:tab w:val="right" w:pos="9072"/>
      </w:tabs>
    </w:pPr>
  </w:style>
  <w:style w:type="character" w:customStyle="1" w:styleId="SidfotChar">
    <w:name w:val="Sidfot Char"/>
    <w:basedOn w:val="Standardstycketeckensnitt"/>
    <w:link w:val="Sidfot"/>
    <w:uiPriority w:val="99"/>
    <w:rsid w:val="00FF4EAB"/>
  </w:style>
  <w:style w:type="character" w:customStyle="1" w:styleId="Rubrik1Char">
    <w:name w:val="Rubrik 1 Char"/>
    <w:basedOn w:val="Standardstycketeckensnitt"/>
    <w:link w:val="Rubrik1"/>
    <w:uiPriority w:val="9"/>
    <w:rsid w:val="009B52E5"/>
    <w:rPr>
      <w:rFonts w:ascii="Cambria" w:eastAsiaTheme="majorEastAsia" w:hAnsi="Cambria" w:cstheme="majorBidi"/>
      <w:b/>
      <w:color w:val="002060"/>
      <w:sz w:val="36"/>
      <w:szCs w:val="32"/>
    </w:rPr>
  </w:style>
  <w:style w:type="character" w:customStyle="1" w:styleId="Rubrik2Char">
    <w:name w:val="Rubrik 2 Char"/>
    <w:basedOn w:val="Standardstycketeckensnitt"/>
    <w:link w:val="Rubrik2"/>
    <w:uiPriority w:val="9"/>
    <w:rsid w:val="009B52E5"/>
    <w:rPr>
      <w:rFonts w:eastAsiaTheme="majorEastAsia" w:cstheme="majorBidi"/>
      <w:b/>
      <w:color w:val="002060"/>
      <w:szCs w:val="26"/>
    </w:rPr>
  </w:style>
  <w:style w:type="paragraph" w:styleId="Underrubrik">
    <w:name w:val="Subtitle"/>
    <w:basedOn w:val="Normal"/>
    <w:next w:val="Normal"/>
    <w:link w:val="UnderrubrikChar"/>
    <w:uiPriority w:val="11"/>
    <w:qFormat/>
    <w:rsid w:val="00FF4EAB"/>
    <w:pPr>
      <w:numPr>
        <w:ilvl w:val="1"/>
      </w:numPr>
      <w:jc w:val="both"/>
    </w:pPr>
    <w:rPr>
      <w:rFonts w:ascii="Cambria" w:eastAsiaTheme="minorEastAsia" w:hAnsi="Cambria"/>
      <w:caps/>
      <w:spacing w:val="15"/>
    </w:rPr>
  </w:style>
  <w:style w:type="character" w:customStyle="1" w:styleId="UnderrubrikChar">
    <w:name w:val="Underrubrik Char"/>
    <w:basedOn w:val="Standardstycketeckensnitt"/>
    <w:link w:val="Underrubrik"/>
    <w:uiPriority w:val="11"/>
    <w:rsid w:val="00FF4EAB"/>
    <w:rPr>
      <w:rFonts w:ascii="Cambria" w:eastAsiaTheme="minorEastAsia" w:hAnsi="Cambria"/>
      <w:caps/>
      <w:spacing w:val="15"/>
      <w:sz w:val="20"/>
    </w:rPr>
  </w:style>
  <w:style w:type="character" w:styleId="Hyperlnk">
    <w:name w:val="Hyperlink"/>
    <w:basedOn w:val="Standardstycketeckensnitt"/>
    <w:uiPriority w:val="99"/>
    <w:unhideWhenUsed/>
    <w:rsid w:val="00CD0573"/>
    <w:rPr>
      <w:color w:val="0563C1" w:themeColor="hyperlink"/>
      <w:u w:val="single"/>
    </w:rPr>
  </w:style>
  <w:style w:type="character" w:styleId="Olstomnmnande">
    <w:name w:val="Unresolved Mention"/>
    <w:basedOn w:val="Standardstycketeckensnitt"/>
    <w:uiPriority w:val="99"/>
    <w:semiHidden/>
    <w:unhideWhenUsed/>
    <w:rsid w:val="00CD0573"/>
    <w:rPr>
      <w:color w:val="605E5C"/>
      <w:shd w:val="clear" w:color="auto" w:fill="E1DFDD"/>
    </w:rPr>
  </w:style>
  <w:style w:type="table" w:styleId="Tabellrutnt">
    <w:name w:val="Table Grid"/>
    <w:basedOn w:val="Normaltabell"/>
    <w:uiPriority w:val="39"/>
    <w:rsid w:val="0029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9225D"/>
    <w:pPr>
      <w:ind w:left="720"/>
      <w:contextualSpacing/>
    </w:pPr>
  </w:style>
  <w:style w:type="character" w:customStyle="1" w:styleId="Bodytext5">
    <w:name w:val="Body text (5)"/>
    <w:rsid w:val="005F7E61"/>
    <w:rPr>
      <w:rFonts w:ascii="Arial" w:eastAsia="Arial" w:hAnsi="Arial" w:cs="Arial"/>
      <w:b w:val="0"/>
      <w:bCs w:val="0"/>
      <w:i w:val="0"/>
      <w:iCs w:val="0"/>
      <w:smallCaps w:val="0"/>
      <w:strike w:val="0"/>
      <w:color w:val="3A373B"/>
      <w:spacing w:val="0"/>
      <w:w w:val="100"/>
      <w:position w:val="0"/>
      <w:sz w:val="20"/>
      <w:szCs w:val="20"/>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ucort.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D54A01BD3BBE345BA46C8E417A3C718" ma:contentTypeVersion="17" ma:contentTypeDescription="Skapa ett nytt dokument." ma:contentTypeScope="" ma:versionID="c208f7bbdcc10c46e54628c70d5151d0">
  <xsd:schema xmlns:xsd="http://www.w3.org/2001/XMLSchema" xmlns:xs="http://www.w3.org/2001/XMLSchema" xmlns:p="http://schemas.microsoft.com/office/2006/metadata/properties" xmlns:ns2="82c0138d-84f3-476e-899e-4fb684d165ad" xmlns:ns3="a7e68ab2-1ed8-40e2-a655-a0d914113da0" targetNamespace="http://schemas.microsoft.com/office/2006/metadata/properties" ma:root="true" ma:fieldsID="22eb973385b88c995a9b317781bac503" ns2:_="" ns3:_="">
    <xsd:import namespace="82c0138d-84f3-476e-899e-4fb684d165ad"/>
    <xsd:import namespace="a7e68ab2-1ed8-40e2-a655-a0d914113d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0138d-84f3-476e-899e-4fb684d165ad"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2" nillable="true" ma:displayName="Taxonomy Catch All Column" ma:hidden="true" ma:list="{0d9c7e48-0c9a-4730-8b7f-39eb9fd6ad9d}" ma:internalName="TaxCatchAll" ma:showField="CatchAllData" ma:web="82c0138d-84f3-476e-899e-4fb684d165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e68ab2-1ed8-40e2-a655-a0d914113da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1d21c5c-3b51-4695-ba46-77a80e44e3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c0138d-84f3-476e-899e-4fb684d165ad" xsi:nil="true"/>
    <lcf76f155ced4ddcb4097134ff3c332f xmlns="a7e68ab2-1ed8-40e2-a655-a0d914113da0">
      <Terms xmlns="http://schemas.microsoft.com/office/infopath/2007/PartnerControls"/>
    </lcf76f155ced4ddcb4097134ff3c332f>
  </documentManagement>
</p:properties>
</file>

<file path=customXml/item4.xml>��< ? x m l   v e r s i o n = " 1 . 0 "   e n c o d i n g = " u t f - 1 6 " ? > < p r o p e r t i e s   x m l n s = " h t t p : / / w w w . i m a n a g e . c o m / w o r k / x m l s c h e m a " >  
     < d o c u m e n t i d > L E G A L ! 1 8 3 5 3 8 . 2 < / d o c u m e n t i d >  
     < s e n d e r i d > J U D O N < / s e n d e r i d >  
     < s e n d e r e m a i l > J U L I A . D O N E L L I @ H W F . S E < / s e n d e r e m a i l >  
     < l a s t m o d i f i e d > 2 0 2 4 - 0 1 - 0 3 T 1 4 : 5 3 : 0 0 . 0 0 0 0 0 0 0 + 0 1 : 0 0 < / l a s t m o d i f i e d >  
     < d a t a b a s e > L E G A L < / d a t a b a s e >  
 < / p r o p e r t i e s > 
</file>

<file path=customXml/itemProps1.xml><?xml version="1.0" encoding="utf-8"?>
<ds:datastoreItem xmlns:ds="http://schemas.openxmlformats.org/officeDocument/2006/customXml" ds:itemID="{7901E814-508B-427D-9510-F040163348D5}">
  <ds:schemaRefs>
    <ds:schemaRef ds:uri="http://schemas.microsoft.com/sharepoint/v3/contenttype/forms"/>
  </ds:schemaRefs>
</ds:datastoreItem>
</file>

<file path=customXml/itemProps2.xml><?xml version="1.0" encoding="utf-8"?>
<ds:datastoreItem xmlns:ds="http://schemas.openxmlformats.org/officeDocument/2006/customXml" ds:itemID="{2B91B67B-68AC-4EBE-9E8B-129CFDF0B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0138d-84f3-476e-899e-4fb684d165ad"/>
    <ds:schemaRef ds:uri="a7e68ab2-1ed8-40e2-a655-a0d914113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02FB0-984B-4D3D-B3F7-8A6D5B55A769}">
  <ds:schemaRefs>
    <ds:schemaRef ds:uri="http://schemas.microsoft.com/office/2006/metadata/properties"/>
    <ds:schemaRef ds:uri="http://schemas.microsoft.com/office/infopath/2007/PartnerControls"/>
    <ds:schemaRef ds:uri="82c0138d-84f3-476e-899e-4fb684d165ad"/>
    <ds:schemaRef ds:uri="a7e68ab2-1ed8-40e2-a655-a0d914113da0"/>
  </ds:schemaRefs>
</ds:datastoreItem>
</file>

<file path=customXml/itemProps4.xml><?xml version="1.0" encoding="utf-8"?>
<ds:datastoreItem xmlns:ds="http://schemas.openxmlformats.org/officeDocument/2006/customXml" ds:itemID="{0BB7A811-4E27-BD4F-9002-CBE459A4563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1709</Words>
  <Characters>9059</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Melker Winnerblad</dc:creator>
  <cp:keywords/>
  <dc:description/>
  <cp:lastModifiedBy>Linda Vikström</cp:lastModifiedBy>
  <cp:revision>5</cp:revision>
  <cp:lastPrinted>2024-01-17T10:11:00Z</cp:lastPrinted>
  <dcterms:created xsi:type="dcterms:W3CDTF">2024-01-17T10:23:00Z</dcterms:created>
  <dcterms:modified xsi:type="dcterms:W3CDTF">2024-01-17T16:18:00Z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0x0101005D54A01BD3BBE345BA46C8E417A3C718</vt:lpwstr>
  </property>
  <property fmtid="{D5CDD505-2E9C-101B-9397-08002B2CF9AE}" pid="3" name="MediaServiceImageTags">
    <vt:lpwstr/>
  </property>
</Properties>
</file>